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C92DF" w14:textId="77777777" w:rsidR="002B4CCC" w:rsidRPr="00984489" w:rsidRDefault="002B4CCC" w:rsidP="002B4CCC">
      <w:pPr>
        <w:jc w:val="center"/>
        <w:rPr>
          <w:rFonts w:ascii="Arial" w:hAnsi="Arial"/>
          <w:b/>
          <w:color w:val="222222"/>
          <w:sz w:val="30"/>
          <w:shd w:val="clear" w:color="auto" w:fill="FFFFFF"/>
          <w:lang w:eastAsia="fr-FR"/>
        </w:rPr>
      </w:pPr>
      <w:r w:rsidRPr="00984489">
        <w:rPr>
          <w:rFonts w:ascii="Arial" w:hAnsi="Arial"/>
          <w:b/>
          <w:noProof/>
          <w:color w:val="222222"/>
          <w:sz w:val="30"/>
          <w:shd w:val="clear" w:color="auto" w:fill="FFFFFF"/>
          <w:lang w:eastAsia="fr-FR"/>
        </w:rPr>
        <w:drawing>
          <wp:inline distT="0" distB="0" distL="0" distR="0" wp14:anchorId="5F6587E9" wp14:editId="551BCC30">
            <wp:extent cx="2322195" cy="1199801"/>
            <wp:effectExtent l="25400" t="0" r="0" b="0"/>
            <wp:docPr id="3" name="Image 2"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7"/>
                    <a:stretch>
                      <a:fillRect/>
                    </a:stretch>
                  </pic:blipFill>
                  <pic:spPr>
                    <a:xfrm>
                      <a:off x="0" y="0"/>
                      <a:ext cx="2323401" cy="1200424"/>
                    </a:xfrm>
                    <a:prstGeom prst="rect">
                      <a:avLst/>
                    </a:prstGeom>
                  </pic:spPr>
                </pic:pic>
              </a:graphicData>
            </a:graphic>
          </wp:inline>
        </w:drawing>
      </w:r>
      <w:r w:rsidR="0097255F">
        <w:rPr>
          <w:rFonts w:ascii="Arial" w:hAnsi="Arial"/>
          <w:b/>
          <w:noProof/>
          <w:color w:val="222222"/>
          <w:sz w:val="30"/>
          <w:shd w:val="clear" w:color="auto" w:fill="FFFFFF"/>
          <w:lang w:eastAsia="fr-FR"/>
        </w:rPr>
        <w:drawing>
          <wp:inline distT="0" distB="0" distL="0" distR="0" wp14:anchorId="26751F69" wp14:editId="7642CE0B">
            <wp:extent cx="2341578" cy="122597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9049" cy="1235120"/>
                    </a:xfrm>
                    <a:prstGeom prst="rect">
                      <a:avLst/>
                    </a:prstGeom>
                  </pic:spPr>
                </pic:pic>
              </a:graphicData>
            </a:graphic>
          </wp:inline>
        </w:drawing>
      </w:r>
    </w:p>
    <w:p w14:paraId="5FDB512C" w14:textId="77777777" w:rsidR="002B4CCC" w:rsidRPr="00984489" w:rsidRDefault="002B4CCC" w:rsidP="008B289E">
      <w:pPr>
        <w:jc w:val="center"/>
        <w:rPr>
          <w:rFonts w:ascii="Arial" w:hAnsi="Arial"/>
          <w:b/>
          <w:color w:val="222222"/>
          <w:sz w:val="30"/>
          <w:shd w:val="clear" w:color="auto" w:fill="FFFFFF"/>
          <w:lang w:eastAsia="fr-FR"/>
        </w:rPr>
      </w:pPr>
    </w:p>
    <w:p w14:paraId="7BC5EEDB" w14:textId="77777777" w:rsidR="008B289E" w:rsidRPr="00984489" w:rsidRDefault="006D6F1C" w:rsidP="008B289E">
      <w:pPr>
        <w:jc w:val="center"/>
        <w:rPr>
          <w:rFonts w:ascii="Arial" w:hAnsi="Arial"/>
          <w:b/>
          <w:color w:val="222222"/>
          <w:sz w:val="30"/>
          <w:shd w:val="clear" w:color="auto" w:fill="FFFFFF"/>
          <w:lang w:eastAsia="fr-FR"/>
        </w:rPr>
      </w:pPr>
      <w:r w:rsidRPr="00984489">
        <w:rPr>
          <w:rFonts w:ascii="Arial" w:hAnsi="Arial"/>
          <w:b/>
          <w:color w:val="222222"/>
          <w:sz w:val="30"/>
          <w:shd w:val="clear" w:color="auto" w:fill="FFFFFF"/>
          <w:lang w:eastAsia="fr-FR"/>
        </w:rPr>
        <w:t xml:space="preserve">MENACAB </w:t>
      </w:r>
      <w:r w:rsidR="001963EC">
        <w:rPr>
          <w:rFonts w:ascii="Arial" w:hAnsi="Arial"/>
          <w:b/>
          <w:color w:val="222222"/>
          <w:sz w:val="30"/>
          <w:shd w:val="clear" w:color="auto" w:fill="FFFFFF"/>
          <w:lang w:eastAsia="fr-FR"/>
        </w:rPr>
        <w:t xml:space="preserve">Novembre </w:t>
      </w:r>
      <w:r w:rsidRPr="00984489">
        <w:rPr>
          <w:rFonts w:ascii="Arial" w:hAnsi="Arial"/>
          <w:b/>
          <w:color w:val="222222"/>
          <w:sz w:val="30"/>
          <w:shd w:val="clear" w:color="auto" w:fill="FFFFFF"/>
          <w:lang w:eastAsia="fr-FR"/>
        </w:rPr>
        <w:t>2017</w:t>
      </w:r>
      <w:r w:rsidR="008B289E" w:rsidRPr="00984489">
        <w:rPr>
          <w:rFonts w:ascii="Arial" w:hAnsi="Arial"/>
          <w:b/>
          <w:color w:val="222222"/>
          <w:sz w:val="30"/>
          <w:shd w:val="clear" w:color="auto" w:fill="FFFFFF"/>
          <w:lang w:eastAsia="fr-FR"/>
        </w:rPr>
        <w:t xml:space="preserve"> </w:t>
      </w:r>
    </w:p>
    <w:p w14:paraId="73693AA5" w14:textId="77777777" w:rsidR="008B289E" w:rsidRPr="00984489" w:rsidRDefault="00984489" w:rsidP="008B289E">
      <w:pPr>
        <w:jc w:val="center"/>
        <w:rPr>
          <w:rFonts w:ascii="Arial" w:hAnsi="Arial"/>
          <w:b/>
          <w:color w:val="222222"/>
          <w:sz w:val="30"/>
          <w:shd w:val="clear" w:color="auto" w:fill="FFFFFF"/>
          <w:lang w:eastAsia="fr-FR"/>
        </w:rPr>
      </w:pPr>
      <w:r w:rsidRPr="00984489">
        <w:rPr>
          <w:rFonts w:ascii="Arial" w:hAnsi="Arial"/>
          <w:b/>
          <w:color w:val="222222"/>
          <w:sz w:val="30"/>
          <w:shd w:val="clear" w:color="auto" w:fill="FFFFFF"/>
          <w:lang w:eastAsia="fr-FR"/>
        </w:rPr>
        <w:t>Marrakech, Maroc</w:t>
      </w:r>
      <w:bookmarkStart w:id="0" w:name="_GoBack"/>
      <w:bookmarkEnd w:id="0"/>
    </w:p>
    <w:p w14:paraId="26FBCC25" w14:textId="77777777" w:rsidR="008B289E" w:rsidRPr="00984489" w:rsidRDefault="00E4122E" w:rsidP="00984489">
      <w:pPr>
        <w:jc w:val="center"/>
        <w:rPr>
          <w:rFonts w:ascii="Arial" w:hAnsi="Arial"/>
          <w:b/>
          <w:color w:val="222222"/>
          <w:sz w:val="44"/>
          <w:shd w:val="clear" w:color="auto" w:fill="FFFFFF"/>
          <w:lang w:eastAsia="fr-FR"/>
        </w:rPr>
      </w:pPr>
      <w:r>
        <w:rPr>
          <w:rFonts w:ascii="Arial" w:hAnsi="Arial"/>
          <w:b/>
          <w:color w:val="222222"/>
          <w:sz w:val="44"/>
          <w:shd w:val="clear" w:color="auto" w:fill="FFFFFF"/>
          <w:lang w:eastAsia="fr-FR"/>
        </w:rPr>
        <w:t>Appel à</w:t>
      </w:r>
      <w:r w:rsidR="00984489">
        <w:rPr>
          <w:rFonts w:ascii="Arial" w:hAnsi="Arial"/>
          <w:b/>
          <w:color w:val="222222"/>
          <w:sz w:val="44"/>
          <w:shd w:val="clear" w:color="auto" w:fill="FFFFFF"/>
          <w:lang w:eastAsia="fr-FR"/>
        </w:rPr>
        <w:t xml:space="preserve"> candidatures</w:t>
      </w:r>
    </w:p>
    <w:p w14:paraId="24D37931" w14:textId="77777777" w:rsidR="008B289E" w:rsidRPr="00984489" w:rsidRDefault="008B289E" w:rsidP="008B289E">
      <w:pPr>
        <w:rPr>
          <w:rFonts w:ascii="Arial" w:hAnsi="Arial"/>
          <w:color w:val="222222"/>
          <w:shd w:val="clear" w:color="auto" w:fill="FFFFFF"/>
          <w:lang w:eastAsia="fr-FR"/>
        </w:rPr>
      </w:pPr>
    </w:p>
    <w:p w14:paraId="5FDD06CB" w14:textId="77777777" w:rsidR="00F0584C" w:rsidRDefault="00A81CC7" w:rsidP="0090435C">
      <w:pPr>
        <w:rPr>
          <w:rFonts w:ascii="Arial" w:hAnsi="Arial"/>
          <w:color w:val="222222"/>
          <w:lang w:eastAsia="fr-FR"/>
        </w:rPr>
      </w:pPr>
      <w:r w:rsidRPr="00984489">
        <w:rPr>
          <w:rFonts w:ascii="Arial" w:hAnsi="Arial"/>
          <w:color w:val="222222"/>
          <w:lang w:eastAsia="fr-FR"/>
        </w:rPr>
        <w:br/>
      </w:r>
      <w:r w:rsidR="00674732">
        <w:rPr>
          <w:rFonts w:ascii="Arial" w:hAnsi="Arial"/>
          <w:b/>
          <w:color w:val="222222"/>
          <w:lang w:eastAsia="fr-FR"/>
        </w:rPr>
        <w:t xml:space="preserve">Information sur l’appel à </w:t>
      </w:r>
      <w:r w:rsidR="00F0584C" w:rsidRPr="00E4122E">
        <w:rPr>
          <w:rFonts w:ascii="Arial" w:hAnsi="Arial"/>
          <w:b/>
          <w:color w:val="222222"/>
          <w:lang w:eastAsia="fr-FR"/>
        </w:rPr>
        <w:t>candidatures</w:t>
      </w:r>
      <w:r w:rsidR="00E55779">
        <w:rPr>
          <w:rFonts w:ascii="Arial" w:hAnsi="Arial"/>
          <w:color w:val="222222"/>
          <w:lang w:eastAsia="fr-FR"/>
        </w:rPr>
        <w:t xml:space="preserve"> pour la réunion du</w:t>
      </w:r>
      <w:r w:rsidR="00F0584C">
        <w:rPr>
          <w:rFonts w:ascii="Arial" w:hAnsi="Arial"/>
          <w:color w:val="222222"/>
          <w:lang w:eastAsia="fr-FR"/>
        </w:rPr>
        <w:t xml:space="preserve"> « Community Advisory Board » pour la région </w:t>
      </w:r>
      <w:r w:rsidR="00E55779">
        <w:rPr>
          <w:rFonts w:ascii="Arial" w:hAnsi="Arial"/>
          <w:color w:val="222222"/>
          <w:lang w:eastAsia="fr-FR"/>
        </w:rPr>
        <w:t xml:space="preserve">Afrique du Nord et Moyen-Orient (MENACAB) -- Une formation sur </w:t>
      </w:r>
      <w:proofErr w:type="gramStart"/>
      <w:r w:rsidR="00E55779">
        <w:rPr>
          <w:rFonts w:ascii="Arial" w:hAnsi="Arial"/>
          <w:color w:val="222222"/>
          <w:lang w:eastAsia="fr-FR"/>
        </w:rPr>
        <w:t>le</w:t>
      </w:r>
      <w:proofErr w:type="gramEnd"/>
      <w:r w:rsidR="00E55779">
        <w:rPr>
          <w:rFonts w:ascii="Arial" w:hAnsi="Arial"/>
          <w:color w:val="222222"/>
          <w:lang w:eastAsia="fr-FR"/>
        </w:rPr>
        <w:t xml:space="preserve"> plaidoyer pour les traitements et diagnostics du VIH, des hépatites B et C et de la tuberculose et des rencontres avec l’industrie pharmaceutique</w:t>
      </w:r>
      <w:r w:rsidR="007A6C59">
        <w:rPr>
          <w:rFonts w:ascii="Arial" w:hAnsi="Arial"/>
          <w:color w:val="222222"/>
          <w:lang w:eastAsia="fr-FR"/>
        </w:rPr>
        <w:t xml:space="preserve">. </w:t>
      </w:r>
      <w:r w:rsidR="00F0584C">
        <w:rPr>
          <w:rFonts w:ascii="Arial" w:hAnsi="Arial"/>
          <w:color w:val="222222"/>
          <w:lang w:eastAsia="fr-FR"/>
        </w:rPr>
        <w:t xml:space="preserve"> </w:t>
      </w:r>
    </w:p>
    <w:p w14:paraId="3D5A8A37" w14:textId="77777777" w:rsidR="0090435C" w:rsidRPr="00984489" w:rsidRDefault="0090435C" w:rsidP="0090435C">
      <w:pPr>
        <w:rPr>
          <w:rFonts w:ascii="Arial" w:hAnsi="Arial"/>
          <w:sz w:val="22"/>
        </w:rPr>
      </w:pPr>
    </w:p>
    <w:p w14:paraId="55752C1B" w14:textId="77777777" w:rsidR="00B0144F" w:rsidRPr="00CE214F" w:rsidRDefault="00B0144F" w:rsidP="0090435C">
      <w:pPr>
        <w:rPr>
          <w:rFonts w:ascii="Arial" w:hAnsi="Arial"/>
          <w:sz w:val="22"/>
          <w:u w:val="single"/>
        </w:rPr>
      </w:pPr>
      <w:r w:rsidRPr="00CE214F">
        <w:rPr>
          <w:rFonts w:ascii="Arial" w:hAnsi="Arial"/>
          <w:sz w:val="22"/>
          <w:u w:val="single"/>
        </w:rPr>
        <w:t xml:space="preserve">DATES </w:t>
      </w:r>
      <w:proofErr w:type="gramStart"/>
      <w:r w:rsidRPr="00CE214F">
        <w:rPr>
          <w:rFonts w:ascii="Arial" w:hAnsi="Arial"/>
          <w:sz w:val="22"/>
          <w:u w:val="single"/>
        </w:rPr>
        <w:t>IMPORTANTES:</w:t>
      </w:r>
      <w:proofErr w:type="gramEnd"/>
    </w:p>
    <w:p w14:paraId="0B29F6A2" w14:textId="77777777" w:rsidR="00B0144F" w:rsidRDefault="00B0144F" w:rsidP="0090435C">
      <w:pPr>
        <w:rPr>
          <w:rFonts w:ascii="Arial" w:hAnsi="Arial"/>
          <w:sz w:val="22"/>
        </w:rPr>
      </w:pPr>
      <w:r>
        <w:rPr>
          <w:rFonts w:ascii="Arial" w:hAnsi="Arial"/>
          <w:sz w:val="22"/>
        </w:rPr>
        <w:t xml:space="preserve">Ouverture de l’appel à candidatures : </w:t>
      </w:r>
      <w:r w:rsidRPr="00AE747E">
        <w:rPr>
          <w:rFonts w:ascii="Arial" w:hAnsi="Arial"/>
          <w:b/>
          <w:sz w:val="22"/>
        </w:rPr>
        <w:t>10 octobre 2017</w:t>
      </w:r>
    </w:p>
    <w:p w14:paraId="63E74AC3" w14:textId="77777777" w:rsidR="009263A4" w:rsidRDefault="00B0144F" w:rsidP="0090435C">
      <w:pPr>
        <w:rPr>
          <w:rFonts w:ascii="Arial" w:hAnsi="Arial"/>
          <w:sz w:val="22"/>
        </w:rPr>
      </w:pPr>
      <w:r>
        <w:rPr>
          <w:rFonts w:ascii="Arial" w:hAnsi="Arial"/>
          <w:sz w:val="22"/>
        </w:rPr>
        <w:t xml:space="preserve">Date limite de réception des candidatures : </w:t>
      </w:r>
      <w:r w:rsidRPr="00AE747E">
        <w:rPr>
          <w:rFonts w:ascii="Arial" w:hAnsi="Arial"/>
          <w:b/>
          <w:sz w:val="22"/>
          <w:u w:val="single"/>
        </w:rPr>
        <w:t>21 octobre 2017</w:t>
      </w:r>
    </w:p>
    <w:p w14:paraId="3B2C1799" w14:textId="77777777" w:rsidR="009263A4" w:rsidRDefault="009263A4" w:rsidP="0090435C">
      <w:pPr>
        <w:rPr>
          <w:rFonts w:ascii="Arial" w:hAnsi="Arial"/>
          <w:sz w:val="22"/>
        </w:rPr>
      </w:pPr>
      <w:r>
        <w:rPr>
          <w:rFonts w:ascii="Arial" w:hAnsi="Arial"/>
          <w:sz w:val="22"/>
        </w:rPr>
        <w:t xml:space="preserve">Notification des candidatures </w:t>
      </w:r>
      <w:proofErr w:type="gramStart"/>
      <w:r>
        <w:rPr>
          <w:rFonts w:ascii="Arial" w:hAnsi="Arial"/>
          <w:sz w:val="22"/>
        </w:rPr>
        <w:t>retenues:</w:t>
      </w:r>
      <w:proofErr w:type="gramEnd"/>
      <w:r>
        <w:rPr>
          <w:rFonts w:ascii="Arial" w:hAnsi="Arial"/>
          <w:sz w:val="22"/>
        </w:rPr>
        <w:t xml:space="preserve"> </w:t>
      </w:r>
      <w:r w:rsidRPr="00AE747E">
        <w:rPr>
          <w:rFonts w:ascii="Arial" w:hAnsi="Arial"/>
          <w:b/>
          <w:sz w:val="22"/>
        </w:rPr>
        <w:t>30 octobre 2017</w:t>
      </w:r>
      <w:r>
        <w:rPr>
          <w:rFonts w:ascii="Arial" w:hAnsi="Arial"/>
          <w:sz w:val="22"/>
        </w:rPr>
        <w:t xml:space="preserve"> </w:t>
      </w:r>
    </w:p>
    <w:p w14:paraId="25920C9E" w14:textId="77777777" w:rsidR="00B0144F" w:rsidRDefault="009263A4" w:rsidP="0090435C">
      <w:pPr>
        <w:rPr>
          <w:rFonts w:ascii="Arial" w:hAnsi="Arial"/>
          <w:sz w:val="22"/>
        </w:rPr>
      </w:pPr>
      <w:r>
        <w:rPr>
          <w:rFonts w:ascii="Arial" w:hAnsi="Arial"/>
          <w:sz w:val="22"/>
        </w:rPr>
        <w:t xml:space="preserve">Réunion du </w:t>
      </w:r>
      <w:proofErr w:type="gramStart"/>
      <w:r>
        <w:rPr>
          <w:rFonts w:ascii="Arial" w:hAnsi="Arial"/>
          <w:sz w:val="22"/>
        </w:rPr>
        <w:t>MENACAB:</w:t>
      </w:r>
      <w:proofErr w:type="gramEnd"/>
      <w:r>
        <w:rPr>
          <w:rFonts w:ascii="Arial" w:hAnsi="Arial"/>
          <w:sz w:val="22"/>
        </w:rPr>
        <w:t xml:space="preserve"> 3 jours entre </w:t>
      </w:r>
      <w:r w:rsidRPr="00AE747E">
        <w:rPr>
          <w:rFonts w:ascii="Arial" w:hAnsi="Arial"/>
          <w:b/>
          <w:sz w:val="22"/>
        </w:rPr>
        <w:t>mi et fin novembre 2017</w:t>
      </w:r>
      <w:r w:rsidR="001E3632">
        <w:rPr>
          <w:rFonts w:ascii="Arial" w:hAnsi="Arial"/>
          <w:sz w:val="22"/>
        </w:rPr>
        <w:t xml:space="preserve"> (dates annoncées prochainement)</w:t>
      </w:r>
      <w:r w:rsidR="008F7B30">
        <w:rPr>
          <w:rFonts w:ascii="Arial" w:hAnsi="Arial"/>
          <w:sz w:val="22"/>
        </w:rPr>
        <w:t>, Marrakech, Maroc</w:t>
      </w:r>
    </w:p>
    <w:p w14:paraId="6EFAE08A" w14:textId="77777777" w:rsidR="00670E88" w:rsidRDefault="00670E88" w:rsidP="0090435C">
      <w:pPr>
        <w:rPr>
          <w:rFonts w:ascii="Arial" w:hAnsi="Arial"/>
          <w:sz w:val="22"/>
        </w:rPr>
      </w:pPr>
    </w:p>
    <w:p w14:paraId="2984F17D" w14:textId="77777777" w:rsidR="0090435C" w:rsidRPr="004C4D83" w:rsidRDefault="00670E88" w:rsidP="0090435C">
      <w:pPr>
        <w:rPr>
          <w:rFonts w:ascii="Arial" w:hAnsi="Arial"/>
          <w:sz w:val="22"/>
          <w:u w:val="single"/>
        </w:rPr>
      </w:pPr>
      <w:r w:rsidRPr="004C4D83">
        <w:rPr>
          <w:rFonts w:ascii="Arial" w:hAnsi="Arial"/>
          <w:sz w:val="22"/>
          <w:u w:val="single"/>
        </w:rPr>
        <w:t xml:space="preserve">Qu’est-ce que le </w:t>
      </w:r>
      <w:proofErr w:type="gramStart"/>
      <w:r w:rsidRPr="004C4D83">
        <w:rPr>
          <w:rFonts w:ascii="Arial" w:hAnsi="Arial"/>
          <w:sz w:val="22"/>
          <w:u w:val="single"/>
        </w:rPr>
        <w:t>MENACAB?</w:t>
      </w:r>
      <w:proofErr w:type="gramEnd"/>
    </w:p>
    <w:p w14:paraId="6C311CDA" w14:textId="77777777" w:rsidR="0090435C" w:rsidRPr="00984489" w:rsidRDefault="00670E88" w:rsidP="00AE747E">
      <w:pPr>
        <w:jc w:val="both"/>
        <w:rPr>
          <w:rFonts w:ascii="Arial" w:hAnsi="Arial"/>
          <w:sz w:val="22"/>
        </w:rPr>
      </w:pPr>
      <w:r>
        <w:rPr>
          <w:rFonts w:ascii="Arial" w:hAnsi="Arial"/>
          <w:sz w:val="22"/>
        </w:rPr>
        <w:t>Le MENACAB est un réseau de plaideurs sur les médicaments, dont l’objectif principal est d’améliorer l’accès à l’information stratégique pour les personnes vivant avec le VIH, l’hépatite C, l’hépatite B et la tuberculose</w:t>
      </w:r>
      <w:r w:rsidR="004439CC">
        <w:rPr>
          <w:rFonts w:ascii="Arial" w:hAnsi="Arial"/>
          <w:sz w:val="22"/>
        </w:rPr>
        <w:t xml:space="preserve"> afin de les armer à un plaidoyer efficace pour l’accès universel au niveau national et régional. Par ailleurs, l’un des buts du MENACAB est de développer et de renforcer le réseau des plaideurs sur la question des traitements et de leur </w:t>
      </w:r>
      <w:r w:rsidR="0098089D">
        <w:rPr>
          <w:rFonts w:ascii="Arial" w:hAnsi="Arial"/>
          <w:sz w:val="22"/>
        </w:rPr>
        <w:t xml:space="preserve">fournir de l’expertise à travers des formations sur la question des traitements et l’opportunité de rencontrer des firmes pharmaceutiques et des institutions de santé publique, ou tout autre organisation pertinente sur les questions d’accès aux traitements.  </w:t>
      </w:r>
    </w:p>
    <w:p w14:paraId="332CCC3C" w14:textId="77777777" w:rsidR="002E6AD5" w:rsidRDefault="002E6AD5" w:rsidP="0090435C">
      <w:pPr>
        <w:rPr>
          <w:rFonts w:ascii="Arial" w:hAnsi="Arial"/>
          <w:sz w:val="22"/>
          <w:szCs w:val="26"/>
        </w:rPr>
      </w:pPr>
    </w:p>
    <w:p w14:paraId="58A3E925" w14:textId="77777777" w:rsidR="001D5513" w:rsidRDefault="001D5513" w:rsidP="0090435C">
      <w:pPr>
        <w:rPr>
          <w:rFonts w:ascii="Arial" w:hAnsi="Arial"/>
          <w:sz w:val="22"/>
          <w:szCs w:val="26"/>
        </w:rPr>
      </w:pPr>
    </w:p>
    <w:p w14:paraId="233417FF" w14:textId="77777777" w:rsidR="002E6AD5" w:rsidRPr="00DB18BD" w:rsidRDefault="002E6AD5" w:rsidP="0090435C">
      <w:pPr>
        <w:rPr>
          <w:rFonts w:ascii="Arial" w:hAnsi="Arial"/>
          <w:sz w:val="22"/>
          <w:szCs w:val="26"/>
          <w:u w:val="single"/>
        </w:rPr>
      </w:pPr>
      <w:r w:rsidRPr="00DB18BD">
        <w:rPr>
          <w:rFonts w:ascii="Arial" w:hAnsi="Arial"/>
          <w:sz w:val="22"/>
          <w:szCs w:val="26"/>
          <w:u w:val="single"/>
        </w:rPr>
        <w:t>Qu’est-ce que la réunion du MENACAB 2017 de Marrakech ?</w:t>
      </w:r>
    </w:p>
    <w:p w14:paraId="2089462A" w14:textId="77777777" w:rsidR="00B942C5" w:rsidRDefault="001D5513" w:rsidP="00AE747E">
      <w:pPr>
        <w:jc w:val="both"/>
        <w:rPr>
          <w:rFonts w:ascii="Arial" w:hAnsi="Arial"/>
          <w:sz w:val="22"/>
          <w:szCs w:val="26"/>
        </w:rPr>
      </w:pPr>
      <w:r>
        <w:rPr>
          <w:rFonts w:ascii="Arial" w:hAnsi="Arial"/>
          <w:sz w:val="22"/>
          <w:szCs w:val="26"/>
        </w:rPr>
        <w:t>Il s’agit d’une rencontre qui réunira une vingtaine d’éminents plaideurs de la région Afrique du Nord et du Moyen Orient, pour leur fournir un renforcement des capacités et un échange stratégique.</w:t>
      </w:r>
      <w:r w:rsidR="00F35BAB">
        <w:rPr>
          <w:rFonts w:ascii="Arial" w:hAnsi="Arial"/>
          <w:sz w:val="22"/>
          <w:szCs w:val="26"/>
        </w:rPr>
        <w:t xml:space="preserve"> A travers </w:t>
      </w:r>
      <w:r w:rsidR="0054154B">
        <w:rPr>
          <w:rFonts w:ascii="Arial" w:hAnsi="Arial"/>
          <w:sz w:val="22"/>
          <w:szCs w:val="26"/>
        </w:rPr>
        <w:t xml:space="preserve">une formation et des rencontres directes avec des firmes pharmaceutiques productrices de princeps, des fabricants de génériques, des institutions de santé publique, </w:t>
      </w:r>
      <w:r w:rsidR="00373112">
        <w:rPr>
          <w:rFonts w:ascii="Arial" w:hAnsi="Arial"/>
          <w:sz w:val="22"/>
          <w:szCs w:val="26"/>
        </w:rPr>
        <w:t>les plaideurs auront l’opportunité d’échanger efficacement avec l’industrie sur les prix, les brevets et les questions d’enregistrements auprès des autorités sanitaires pour les diagnostics et les traitements du VIH, du VHC, VHB et de la tuberculose</w:t>
      </w:r>
      <w:r w:rsidR="00B942C5">
        <w:rPr>
          <w:rFonts w:ascii="Arial" w:hAnsi="Arial"/>
          <w:sz w:val="22"/>
          <w:szCs w:val="26"/>
        </w:rPr>
        <w:t>.</w:t>
      </w:r>
    </w:p>
    <w:p w14:paraId="4D557965" w14:textId="77777777" w:rsidR="00B942C5" w:rsidRDefault="00B942C5" w:rsidP="0090435C">
      <w:pPr>
        <w:rPr>
          <w:rFonts w:ascii="Arial" w:hAnsi="Arial"/>
          <w:sz w:val="22"/>
          <w:szCs w:val="26"/>
        </w:rPr>
      </w:pPr>
    </w:p>
    <w:p w14:paraId="631F041C" w14:textId="77777777" w:rsidR="00B942C5" w:rsidRDefault="00B942C5" w:rsidP="0090435C">
      <w:pPr>
        <w:rPr>
          <w:rFonts w:ascii="Arial" w:hAnsi="Arial"/>
          <w:sz w:val="22"/>
          <w:szCs w:val="26"/>
        </w:rPr>
      </w:pPr>
    </w:p>
    <w:p w14:paraId="37EDA002" w14:textId="77777777" w:rsidR="00B942C5" w:rsidRDefault="00B942C5" w:rsidP="0090435C">
      <w:pPr>
        <w:rPr>
          <w:rFonts w:ascii="Arial" w:hAnsi="Arial"/>
          <w:sz w:val="22"/>
          <w:szCs w:val="26"/>
        </w:rPr>
      </w:pPr>
    </w:p>
    <w:p w14:paraId="32202D8A" w14:textId="77777777" w:rsidR="00B942C5" w:rsidRPr="00AE747E" w:rsidRDefault="00B942C5" w:rsidP="0090435C">
      <w:pPr>
        <w:rPr>
          <w:rFonts w:ascii="Arial" w:hAnsi="Arial"/>
          <w:sz w:val="22"/>
          <w:szCs w:val="26"/>
          <w:u w:val="single"/>
        </w:rPr>
      </w:pPr>
      <w:r w:rsidRPr="00AE747E">
        <w:rPr>
          <w:rFonts w:ascii="Arial" w:hAnsi="Arial"/>
          <w:sz w:val="22"/>
          <w:szCs w:val="26"/>
          <w:u w:val="single"/>
        </w:rPr>
        <w:t xml:space="preserve">Critères de sélections des candidats pour le MENACAB parmi les candidatures </w:t>
      </w:r>
      <w:proofErr w:type="gramStart"/>
      <w:r w:rsidRPr="00AE747E">
        <w:rPr>
          <w:rFonts w:ascii="Arial" w:hAnsi="Arial"/>
          <w:sz w:val="22"/>
          <w:szCs w:val="26"/>
          <w:u w:val="single"/>
        </w:rPr>
        <w:t>reçues:</w:t>
      </w:r>
      <w:proofErr w:type="gramEnd"/>
    </w:p>
    <w:p w14:paraId="177FE58C" w14:textId="77777777" w:rsidR="008976FE" w:rsidRPr="008976FE" w:rsidRDefault="008976FE" w:rsidP="00B942C5">
      <w:pPr>
        <w:pStyle w:val="Pardeliste"/>
        <w:numPr>
          <w:ilvl w:val="0"/>
          <w:numId w:val="1"/>
        </w:numPr>
        <w:rPr>
          <w:rFonts w:ascii="Arial" w:hAnsi="Arial"/>
          <w:b/>
          <w:sz w:val="22"/>
          <w:szCs w:val="26"/>
        </w:rPr>
      </w:pPr>
      <w:proofErr w:type="gramStart"/>
      <w:r w:rsidRPr="008976FE">
        <w:rPr>
          <w:rFonts w:ascii="Arial" w:hAnsi="Arial"/>
          <w:b/>
          <w:sz w:val="22"/>
          <w:szCs w:val="26"/>
        </w:rPr>
        <w:t>Personne vivant</w:t>
      </w:r>
      <w:proofErr w:type="gramEnd"/>
      <w:r w:rsidRPr="008976FE">
        <w:rPr>
          <w:rFonts w:ascii="Arial" w:hAnsi="Arial"/>
          <w:b/>
          <w:sz w:val="22"/>
          <w:szCs w:val="26"/>
        </w:rPr>
        <w:t xml:space="preserve"> et travaillant dans un pays de la région Afrique du Nord Moyen Orient</w:t>
      </w:r>
    </w:p>
    <w:p w14:paraId="2095DA3E" w14:textId="77777777" w:rsidR="00B942C5" w:rsidRPr="00B942C5" w:rsidRDefault="00B942C5" w:rsidP="00B942C5">
      <w:pPr>
        <w:pStyle w:val="Pardeliste"/>
        <w:numPr>
          <w:ilvl w:val="0"/>
          <w:numId w:val="1"/>
        </w:numPr>
        <w:rPr>
          <w:rFonts w:ascii="Arial" w:hAnsi="Arial"/>
          <w:sz w:val="22"/>
          <w:szCs w:val="26"/>
        </w:rPr>
      </w:pPr>
      <w:proofErr w:type="gramStart"/>
      <w:r w:rsidRPr="00B942C5">
        <w:rPr>
          <w:rFonts w:ascii="Arial" w:hAnsi="Arial"/>
          <w:sz w:val="22"/>
          <w:szCs w:val="26"/>
        </w:rPr>
        <w:t>Personne vivant</w:t>
      </w:r>
      <w:proofErr w:type="gramEnd"/>
      <w:r w:rsidRPr="00B942C5">
        <w:rPr>
          <w:rFonts w:ascii="Arial" w:hAnsi="Arial"/>
          <w:sz w:val="22"/>
          <w:szCs w:val="26"/>
        </w:rPr>
        <w:t xml:space="preserve"> avec le VIH, le VHC, le VHB, la tuberculose ou population clé. </w:t>
      </w:r>
    </w:p>
    <w:p w14:paraId="2FE240B6" w14:textId="77777777" w:rsidR="00B942C5" w:rsidRDefault="00B942C5" w:rsidP="00B942C5">
      <w:pPr>
        <w:pStyle w:val="Pardeliste"/>
        <w:numPr>
          <w:ilvl w:val="0"/>
          <w:numId w:val="1"/>
        </w:numPr>
        <w:rPr>
          <w:rFonts w:ascii="Arial" w:hAnsi="Arial"/>
          <w:sz w:val="22"/>
          <w:szCs w:val="26"/>
        </w:rPr>
      </w:pPr>
      <w:r>
        <w:rPr>
          <w:rFonts w:ascii="Arial" w:hAnsi="Arial"/>
          <w:sz w:val="22"/>
          <w:szCs w:val="26"/>
        </w:rPr>
        <w:t>Compétences sur la propriété intellectuelle</w:t>
      </w:r>
    </w:p>
    <w:p w14:paraId="15D944D6" w14:textId="77777777" w:rsidR="00B942C5" w:rsidRDefault="00B942C5" w:rsidP="00B942C5">
      <w:pPr>
        <w:pStyle w:val="Pardeliste"/>
        <w:numPr>
          <w:ilvl w:val="0"/>
          <w:numId w:val="1"/>
        </w:numPr>
        <w:rPr>
          <w:rFonts w:ascii="Arial" w:hAnsi="Arial"/>
          <w:sz w:val="22"/>
          <w:szCs w:val="26"/>
        </w:rPr>
      </w:pPr>
      <w:r>
        <w:rPr>
          <w:rFonts w:ascii="Arial" w:hAnsi="Arial"/>
          <w:sz w:val="22"/>
          <w:szCs w:val="26"/>
        </w:rPr>
        <w:lastRenderedPageBreak/>
        <w:t>Compétences sur les médicaments en développement pour le VIH, le VHC, VHB et tuberculose</w:t>
      </w:r>
    </w:p>
    <w:p w14:paraId="4B327A7E" w14:textId="77777777" w:rsidR="00B942C5" w:rsidRDefault="00B942C5" w:rsidP="00B942C5">
      <w:pPr>
        <w:pStyle w:val="Pardeliste"/>
        <w:numPr>
          <w:ilvl w:val="0"/>
          <w:numId w:val="1"/>
        </w:numPr>
        <w:rPr>
          <w:rFonts w:ascii="Arial" w:hAnsi="Arial"/>
          <w:sz w:val="22"/>
          <w:szCs w:val="26"/>
        </w:rPr>
      </w:pPr>
      <w:proofErr w:type="gramStart"/>
      <w:r>
        <w:rPr>
          <w:rFonts w:ascii="Arial" w:hAnsi="Arial"/>
          <w:sz w:val="22"/>
          <w:szCs w:val="26"/>
        </w:rPr>
        <w:t>Personne travaillant</w:t>
      </w:r>
      <w:proofErr w:type="gramEnd"/>
      <w:r>
        <w:rPr>
          <w:rFonts w:ascii="Arial" w:hAnsi="Arial"/>
          <w:sz w:val="22"/>
          <w:szCs w:val="26"/>
        </w:rPr>
        <w:t xml:space="preserve"> au quotidien au niveau national sur les problématiques soulevées au CAB</w:t>
      </w:r>
    </w:p>
    <w:p w14:paraId="6A9208D1" w14:textId="77777777" w:rsidR="00996464" w:rsidRDefault="00996464" w:rsidP="00B942C5">
      <w:pPr>
        <w:pStyle w:val="Pardeliste"/>
        <w:numPr>
          <w:ilvl w:val="0"/>
          <w:numId w:val="1"/>
        </w:numPr>
        <w:rPr>
          <w:rFonts w:ascii="Arial" w:hAnsi="Arial"/>
          <w:sz w:val="22"/>
          <w:szCs w:val="26"/>
        </w:rPr>
      </w:pPr>
      <w:r>
        <w:rPr>
          <w:rFonts w:ascii="Arial" w:hAnsi="Arial"/>
          <w:sz w:val="22"/>
          <w:szCs w:val="26"/>
        </w:rPr>
        <w:t>Participation passée à un autre CAB</w:t>
      </w:r>
    </w:p>
    <w:p w14:paraId="7F6919FB" w14:textId="77777777" w:rsidR="00996464" w:rsidRDefault="00996464" w:rsidP="00B942C5">
      <w:pPr>
        <w:pStyle w:val="Pardeliste"/>
        <w:numPr>
          <w:ilvl w:val="0"/>
          <w:numId w:val="1"/>
        </w:numPr>
        <w:rPr>
          <w:rFonts w:ascii="Arial" w:hAnsi="Arial"/>
          <w:sz w:val="22"/>
          <w:szCs w:val="26"/>
        </w:rPr>
      </w:pPr>
      <w:r>
        <w:rPr>
          <w:rFonts w:ascii="Arial" w:hAnsi="Arial"/>
          <w:sz w:val="22"/>
          <w:szCs w:val="26"/>
        </w:rPr>
        <w:t>Lettre de motivation et de recommandation</w:t>
      </w:r>
    </w:p>
    <w:p w14:paraId="7E16AD23" w14:textId="77777777" w:rsidR="000A7F3A" w:rsidRDefault="00996464" w:rsidP="00B942C5">
      <w:pPr>
        <w:pStyle w:val="Pardeliste"/>
        <w:numPr>
          <w:ilvl w:val="0"/>
          <w:numId w:val="1"/>
        </w:numPr>
        <w:rPr>
          <w:rFonts w:ascii="Arial" w:hAnsi="Arial"/>
          <w:b/>
          <w:sz w:val="22"/>
          <w:szCs w:val="26"/>
        </w:rPr>
      </w:pPr>
      <w:r w:rsidRPr="00826D0C">
        <w:rPr>
          <w:rFonts w:ascii="Arial" w:hAnsi="Arial"/>
          <w:b/>
          <w:sz w:val="22"/>
          <w:szCs w:val="26"/>
        </w:rPr>
        <w:t>Absence de conflit d’intérêt avec l’industrie pharmaceutiqu</w:t>
      </w:r>
      <w:r w:rsidR="000A7F3A">
        <w:rPr>
          <w:rFonts w:ascii="Arial" w:hAnsi="Arial"/>
          <w:b/>
          <w:sz w:val="22"/>
          <w:szCs w:val="26"/>
        </w:rPr>
        <w:t>e</w:t>
      </w:r>
    </w:p>
    <w:p w14:paraId="46FD1AC4" w14:textId="77777777" w:rsidR="000A7F3A" w:rsidRDefault="000A7F3A" w:rsidP="000A7F3A">
      <w:pPr>
        <w:rPr>
          <w:rFonts w:ascii="Arial" w:hAnsi="Arial"/>
          <w:b/>
          <w:sz w:val="22"/>
          <w:szCs w:val="26"/>
        </w:rPr>
      </w:pPr>
    </w:p>
    <w:p w14:paraId="76F89F33" w14:textId="77777777" w:rsidR="000A7F3A" w:rsidRDefault="000A7F3A" w:rsidP="000A7F3A">
      <w:pPr>
        <w:rPr>
          <w:rFonts w:ascii="Arial" w:hAnsi="Arial"/>
          <w:b/>
          <w:sz w:val="22"/>
          <w:szCs w:val="26"/>
        </w:rPr>
      </w:pPr>
    </w:p>
    <w:p w14:paraId="3B006B1A" w14:textId="77777777" w:rsidR="000A7F3A" w:rsidRDefault="000A7F3A" w:rsidP="000A7F3A">
      <w:pPr>
        <w:rPr>
          <w:rFonts w:ascii="Arial" w:hAnsi="Arial"/>
          <w:b/>
          <w:sz w:val="22"/>
          <w:szCs w:val="26"/>
        </w:rPr>
      </w:pPr>
    </w:p>
    <w:p w14:paraId="1A199CCA" w14:textId="77777777" w:rsidR="000A7F3A" w:rsidRPr="002151FC" w:rsidRDefault="000A7F3A" w:rsidP="000A7F3A">
      <w:pPr>
        <w:rPr>
          <w:rFonts w:ascii="Arial" w:hAnsi="Arial"/>
          <w:b/>
          <w:sz w:val="22"/>
          <w:szCs w:val="26"/>
          <w:u w:val="single"/>
        </w:rPr>
      </w:pPr>
      <w:r w:rsidRPr="002151FC">
        <w:rPr>
          <w:rFonts w:ascii="Arial" w:hAnsi="Arial"/>
          <w:b/>
          <w:sz w:val="22"/>
          <w:szCs w:val="26"/>
          <w:u w:val="single"/>
        </w:rPr>
        <w:t>Processus pour l’appel à candidature :</w:t>
      </w:r>
    </w:p>
    <w:p w14:paraId="63A0AAC7" w14:textId="77777777" w:rsidR="000A7F3A" w:rsidRDefault="000A7F3A" w:rsidP="000A7F3A">
      <w:pPr>
        <w:rPr>
          <w:rFonts w:ascii="Arial" w:hAnsi="Arial"/>
          <w:b/>
          <w:sz w:val="22"/>
          <w:szCs w:val="26"/>
        </w:rPr>
      </w:pPr>
    </w:p>
    <w:p w14:paraId="25C47361" w14:textId="77777777" w:rsidR="000A7F3A" w:rsidRPr="002151FC" w:rsidRDefault="002151FC" w:rsidP="000A7F3A">
      <w:pPr>
        <w:pStyle w:val="Pardeliste"/>
        <w:numPr>
          <w:ilvl w:val="0"/>
          <w:numId w:val="2"/>
        </w:numPr>
        <w:rPr>
          <w:rFonts w:ascii="Arial" w:hAnsi="Arial"/>
          <w:sz w:val="22"/>
          <w:szCs w:val="26"/>
        </w:rPr>
      </w:pPr>
      <w:r>
        <w:rPr>
          <w:rFonts w:ascii="Arial" w:hAnsi="Arial"/>
          <w:b/>
          <w:sz w:val="22"/>
          <w:szCs w:val="26"/>
        </w:rPr>
        <w:t>Complétez</w:t>
      </w:r>
      <w:r w:rsidR="000A7F3A" w:rsidRPr="000A7F3A">
        <w:rPr>
          <w:rFonts w:ascii="Arial" w:hAnsi="Arial"/>
          <w:b/>
          <w:sz w:val="22"/>
          <w:szCs w:val="26"/>
        </w:rPr>
        <w:t xml:space="preserve"> le formulaire d’appel à candidature en anglais ou en </w:t>
      </w:r>
      <w:r w:rsidR="000A7F3A" w:rsidRPr="002151FC">
        <w:rPr>
          <w:rFonts w:ascii="Arial" w:hAnsi="Arial"/>
          <w:sz w:val="22"/>
          <w:szCs w:val="26"/>
        </w:rPr>
        <w:t>français (les candidatures incomplètes ne seront pas étudiées</w:t>
      </w:r>
      <w:r w:rsidRPr="002151FC">
        <w:rPr>
          <w:rFonts w:ascii="Arial" w:hAnsi="Arial"/>
          <w:sz w:val="22"/>
          <w:szCs w:val="26"/>
        </w:rPr>
        <w:t>).</w:t>
      </w:r>
    </w:p>
    <w:p w14:paraId="7C8B16F8" w14:textId="77777777" w:rsidR="000A7F3A" w:rsidRPr="000A7F3A" w:rsidRDefault="000A7F3A" w:rsidP="000A7F3A">
      <w:pPr>
        <w:pStyle w:val="Pardeliste"/>
        <w:rPr>
          <w:rFonts w:ascii="Arial" w:hAnsi="Arial"/>
          <w:b/>
          <w:sz w:val="22"/>
          <w:szCs w:val="26"/>
        </w:rPr>
      </w:pPr>
      <w:r w:rsidRPr="002151FC">
        <w:rPr>
          <w:rFonts w:ascii="Arial" w:hAnsi="Arial"/>
          <w:sz w:val="22"/>
          <w:szCs w:val="26"/>
        </w:rPr>
        <w:t>Dans le corps</w:t>
      </w:r>
      <w:r w:rsidR="00A8120E">
        <w:rPr>
          <w:rFonts w:ascii="Arial" w:hAnsi="Arial"/>
          <w:sz w:val="22"/>
          <w:szCs w:val="26"/>
        </w:rPr>
        <w:t xml:space="preserve"> de</w:t>
      </w:r>
      <w:r w:rsidRPr="002151FC">
        <w:rPr>
          <w:rFonts w:ascii="Arial" w:hAnsi="Arial"/>
          <w:sz w:val="22"/>
          <w:szCs w:val="26"/>
        </w:rPr>
        <w:t xml:space="preserve"> vo</w:t>
      </w:r>
      <w:r w:rsidR="00080D6B" w:rsidRPr="002151FC">
        <w:rPr>
          <w:rFonts w:ascii="Arial" w:hAnsi="Arial"/>
          <w:sz w:val="22"/>
          <w:szCs w:val="26"/>
        </w:rPr>
        <w:t>tre email de candidature, merci de fournir le nom, titre et l’adresse email d</w:t>
      </w:r>
      <w:r w:rsidR="004E3E5C" w:rsidRPr="002151FC">
        <w:rPr>
          <w:rFonts w:ascii="Arial" w:hAnsi="Arial"/>
          <w:sz w:val="22"/>
          <w:szCs w:val="26"/>
        </w:rPr>
        <w:t>e</w:t>
      </w:r>
      <w:r w:rsidR="004E3E5C">
        <w:rPr>
          <w:rFonts w:ascii="Arial" w:hAnsi="Arial"/>
          <w:b/>
          <w:sz w:val="22"/>
          <w:szCs w:val="26"/>
        </w:rPr>
        <w:t xml:space="preserve"> deux personnes </w:t>
      </w:r>
      <w:r w:rsidR="004E3E5C" w:rsidRPr="002151FC">
        <w:rPr>
          <w:rFonts w:ascii="Arial" w:hAnsi="Arial"/>
          <w:sz w:val="22"/>
          <w:szCs w:val="26"/>
        </w:rPr>
        <w:t>qui sont prêtes à</w:t>
      </w:r>
      <w:r w:rsidR="004E3E5C">
        <w:rPr>
          <w:rFonts w:ascii="Arial" w:hAnsi="Arial"/>
          <w:b/>
          <w:sz w:val="22"/>
          <w:szCs w:val="26"/>
        </w:rPr>
        <w:t xml:space="preserve"> vous recommander.</w:t>
      </w:r>
    </w:p>
    <w:p w14:paraId="7EFD13E9" w14:textId="77777777" w:rsidR="00C24F8C" w:rsidRPr="00C24F8C" w:rsidRDefault="000A7F3A" w:rsidP="000A7F3A">
      <w:pPr>
        <w:pStyle w:val="Pardeliste"/>
        <w:numPr>
          <w:ilvl w:val="0"/>
          <w:numId w:val="2"/>
        </w:numPr>
        <w:rPr>
          <w:rFonts w:ascii="Arial" w:hAnsi="Arial"/>
          <w:b/>
          <w:sz w:val="22"/>
          <w:szCs w:val="26"/>
        </w:rPr>
      </w:pPr>
      <w:r w:rsidRPr="000A7F3A">
        <w:rPr>
          <w:rFonts w:ascii="Arial" w:hAnsi="Arial"/>
          <w:b/>
          <w:sz w:val="22"/>
          <w:szCs w:val="26"/>
        </w:rPr>
        <w:t xml:space="preserve"> </w:t>
      </w:r>
      <w:r w:rsidR="00C24F8C" w:rsidRPr="002151FC">
        <w:rPr>
          <w:rFonts w:ascii="Arial" w:hAnsi="Arial"/>
          <w:sz w:val="22"/>
          <w:szCs w:val="26"/>
        </w:rPr>
        <w:t>Soumettez, signé et complété le formulaire et envoyez-le à l’adresse :</w:t>
      </w:r>
      <w:r w:rsidR="00C24F8C">
        <w:rPr>
          <w:rFonts w:ascii="Arial" w:hAnsi="Arial"/>
          <w:b/>
          <w:sz w:val="22"/>
          <w:szCs w:val="26"/>
        </w:rPr>
        <w:t xml:space="preserve"> </w:t>
      </w:r>
      <w:r w:rsidR="00C24F8C">
        <w:rPr>
          <w:rFonts w:ascii="Arial" w:hAnsi="Arial"/>
          <w:b/>
          <w:sz w:val="22"/>
          <w:szCs w:val="17"/>
          <w:shd w:val="clear" w:color="auto" w:fill="FFFFFF"/>
          <w:lang w:eastAsia="fr-FR"/>
        </w:rPr>
        <w:t>menacab.applications@gmail.com</w:t>
      </w:r>
    </w:p>
    <w:p w14:paraId="4DF1E088" w14:textId="77777777" w:rsidR="00C24F8C" w:rsidRDefault="00C24F8C" w:rsidP="00C24F8C">
      <w:pPr>
        <w:rPr>
          <w:rFonts w:ascii="Arial" w:hAnsi="Arial"/>
          <w:b/>
          <w:sz w:val="22"/>
          <w:szCs w:val="26"/>
        </w:rPr>
      </w:pPr>
    </w:p>
    <w:p w14:paraId="533FAA3B" w14:textId="77777777" w:rsidR="00C24F8C" w:rsidRDefault="00C24F8C" w:rsidP="00C24F8C">
      <w:pPr>
        <w:rPr>
          <w:rFonts w:ascii="Arial" w:hAnsi="Arial"/>
          <w:b/>
          <w:sz w:val="22"/>
          <w:szCs w:val="26"/>
        </w:rPr>
      </w:pPr>
    </w:p>
    <w:p w14:paraId="4C7277B1" w14:textId="77777777" w:rsidR="00C24F8C" w:rsidRPr="00AE747E" w:rsidRDefault="00C24F8C" w:rsidP="00C24F8C">
      <w:pPr>
        <w:rPr>
          <w:rFonts w:ascii="Arial" w:hAnsi="Arial"/>
          <w:b/>
          <w:sz w:val="22"/>
          <w:szCs w:val="26"/>
          <w:u w:val="single"/>
        </w:rPr>
      </w:pPr>
      <w:r w:rsidRPr="00AE747E">
        <w:rPr>
          <w:rFonts w:ascii="Arial" w:hAnsi="Arial"/>
          <w:b/>
          <w:sz w:val="22"/>
          <w:szCs w:val="26"/>
          <w:u w:val="single"/>
        </w:rPr>
        <w:t>Organisateur de la réunion :</w:t>
      </w:r>
    </w:p>
    <w:p w14:paraId="5E66AE78" w14:textId="77777777" w:rsidR="000A7F3A" w:rsidRPr="00C24F8C" w:rsidRDefault="00C24F8C" w:rsidP="00C24F8C">
      <w:pPr>
        <w:rPr>
          <w:rFonts w:ascii="Arial" w:hAnsi="Arial"/>
          <w:b/>
          <w:sz w:val="22"/>
          <w:szCs w:val="26"/>
        </w:rPr>
      </w:pPr>
      <w:r>
        <w:rPr>
          <w:rFonts w:ascii="Arial" w:hAnsi="Arial"/>
          <w:b/>
          <w:sz w:val="22"/>
          <w:szCs w:val="26"/>
        </w:rPr>
        <w:t>La coalition internationale pour la préparation aux traitements en Afrique du Nord et Moyen-Orient (ITPC-MENA)</w:t>
      </w:r>
    </w:p>
    <w:p w14:paraId="24402463" w14:textId="77777777" w:rsidR="000A7F3A" w:rsidRDefault="000A7F3A" w:rsidP="000A7F3A">
      <w:pPr>
        <w:rPr>
          <w:rFonts w:ascii="Arial" w:hAnsi="Arial"/>
          <w:b/>
          <w:sz w:val="22"/>
          <w:szCs w:val="26"/>
        </w:rPr>
      </w:pPr>
    </w:p>
    <w:p w14:paraId="4BC0A7EE" w14:textId="77777777" w:rsidR="00B942C5" w:rsidRPr="00A03D30" w:rsidRDefault="00B942C5" w:rsidP="0090435C">
      <w:pPr>
        <w:rPr>
          <w:rFonts w:ascii="Arial" w:hAnsi="Arial"/>
          <w:b/>
          <w:sz w:val="22"/>
          <w:szCs w:val="26"/>
        </w:rPr>
      </w:pPr>
    </w:p>
    <w:p w14:paraId="38F7379E" w14:textId="77777777" w:rsidR="00B942C5" w:rsidRDefault="00B942C5" w:rsidP="0090435C">
      <w:pPr>
        <w:rPr>
          <w:sz w:val="22"/>
        </w:rPr>
      </w:pPr>
    </w:p>
    <w:p w14:paraId="7F1D8049" w14:textId="77777777" w:rsidR="0090435C" w:rsidRPr="00984489" w:rsidRDefault="0090435C" w:rsidP="0090435C">
      <w:pPr>
        <w:rPr>
          <w:sz w:val="22"/>
        </w:rPr>
      </w:pPr>
    </w:p>
    <w:p w14:paraId="29CF7332" w14:textId="77777777" w:rsidR="0090435C" w:rsidRPr="00984489" w:rsidRDefault="0090435C" w:rsidP="0090435C">
      <w:pPr>
        <w:rPr>
          <w:rFonts w:ascii="Arial" w:hAnsi="Arial"/>
          <w:sz w:val="22"/>
          <w:szCs w:val="26"/>
        </w:rPr>
      </w:pPr>
    </w:p>
    <w:p w14:paraId="1683169D" w14:textId="77777777" w:rsidR="0090435C" w:rsidRPr="00984489" w:rsidRDefault="0090435C" w:rsidP="0090435C">
      <w:pPr>
        <w:rPr>
          <w:rFonts w:ascii="Arial" w:hAnsi="Arial"/>
          <w:sz w:val="22"/>
        </w:rPr>
      </w:pPr>
    </w:p>
    <w:p w14:paraId="3E074985" w14:textId="77777777" w:rsidR="0090435C" w:rsidRPr="00984489" w:rsidRDefault="0090435C" w:rsidP="0090435C">
      <w:pPr>
        <w:rPr>
          <w:rFonts w:ascii="Arial" w:hAnsi="Arial"/>
          <w:sz w:val="22"/>
        </w:rPr>
      </w:pPr>
    </w:p>
    <w:p w14:paraId="389C4DE8" w14:textId="77777777" w:rsidR="002E6AD5" w:rsidRPr="00984489" w:rsidRDefault="002E6AD5" w:rsidP="0090435C"/>
    <w:sectPr w:rsidR="002E6AD5" w:rsidRPr="00984489" w:rsidSect="00AE747E">
      <w:footerReference w:type="even" r:id="rId9"/>
      <w:footerReference w:type="default" r:id="rId10"/>
      <w:pgSz w:w="11900" w:h="16840"/>
      <w:pgMar w:top="1134" w:right="1134" w:bottom="1418"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82ABD" w14:textId="77777777" w:rsidR="004C4E74" w:rsidRDefault="004C4E74">
      <w:r>
        <w:separator/>
      </w:r>
    </w:p>
  </w:endnote>
  <w:endnote w:type="continuationSeparator" w:id="0">
    <w:p w14:paraId="3B38BD58" w14:textId="77777777" w:rsidR="004C4E74" w:rsidRDefault="004C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3404" w14:textId="77777777" w:rsidR="00AE747E" w:rsidRDefault="00AD2FA6" w:rsidP="00FA3DBA">
    <w:pPr>
      <w:pStyle w:val="Pieddepage"/>
      <w:framePr w:wrap="around" w:vAnchor="text" w:hAnchor="margin" w:xAlign="center" w:y="1"/>
      <w:rPr>
        <w:rStyle w:val="Numrodepage"/>
      </w:rPr>
    </w:pPr>
    <w:r>
      <w:rPr>
        <w:rStyle w:val="Numrodepage"/>
      </w:rPr>
      <w:fldChar w:fldCharType="begin"/>
    </w:r>
    <w:r w:rsidR="00AE747E">
      <w:rPr>
        <w:rStyle w:val="Numrodepage"/>
      </w:rPr>
      <w:instrText xml:space="preserve">PAGE  </w:instrText>
    </w:r>
    <w:r>
      <w:rPr>
        <w:rStyle w:val="Numrodepage"/>
      </w:rPr>
      <w:fldChar w:fldCharType="end"/>
    </w:r>
  </w:p>
  <w:p w14:paraId="676F7C14" w14:textId="77777777" w:rsidR="00AE747E" w:rsidRDefault="00AE747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A4DD1" w14:textId="77777777" w:rsidR="00AE747E" w:rsidRDefault="00AD2FA6" w:rsidP="00FA3DBA">
    <w:pPr>
      <w:pStyle w:val="Pieddepage"/>
      <w:framePr w:wrap="around" w:vAnchor="text" w:hAnchor="margin" w:xAlign="center" w:y="1"/>
      <w:rPr>
        <w:rStyle w:val="Numrodepage"/>
      </w:rPr>
    </w:pPr>
    <w:r>
      <w:rPr>
        <w:rStyle w:val="Numrodepage"/>
      </w:rPr>
      <w:fldChar w:fldCharType="begin"/>
    </w:r>
    <w:r w:rsidR="00AE747E">
      <w:rPr>
        <w:rStyle w:val="Numrodepage"/>
      </w:rPr>
      <w:instrText xml:space="preserve">PAGE  </w:instrText>
    </w:r>
    <w:r>
      <w:rPr>
        <w:rStyle w:val="Numrodepage"/>
      </w:rPr>
      <w:fldChar w:fldCharType="separate"/>
    </w:r>
    <w:r w:rsidR="0097255F">
      <w:rPr>
        <w:rStyle w:val="Numrodepage"/>
        <w:noProof/>
      </w:rPr>
      <w:t>2</w:t>
    </w:r>
    <w:r>
      <w:rPr>
        <w:rStyle w:val="Numrodepage"/>
      </w:rPr>
      <w:fldChar w:fldCharType="end"/>
    </w:r>
  </w:p>
  <w:p w14:paraId="7E482F67" w14:textId="77777777" w:rsidR="000A7F3A" w:rsidRDefault="000A7F3A" w:rsidP="002F4BCD">
    <w:pPr>
      <w:pStyle w:val="Pieddepage"/>
      <w:ind w:right="360"/>
      <w:jc w:val="both"/>
      <w:rPr>
        <w:rFonts w:ascii="Arial" w:hAnsi="Arial"/>
        <w:i/>
        <w:sz w:val="18"/>
      </w:rPr>
    </w:pPr>
    <w:r>
      <w:t xml:space="preserve">      </w:t>
    </w:r>
    <w:r>
      <w:rPr>
        <w:rFonts w:ascii="Arial" w:hAnsi="Arial"/>
        <w:i/>
        <w:sz w:val="18"/>
      </w:rPr>
      <w:t xml:space="preserve"> </w:t>
    </w:r>
    <w:r>
      <w:rPr>
        <w:rFonts w:ascii="Arial" w:hAnsi="Arial"/>
        <w:i/>
        <w:noProof/>
        <w:sz w:val="18"/>
        <w:lang w:eastAsia="fr-FR"/>
      </w:rPr>
      <w:drawing>
        <wp:inline distT="0" distB="0" distL="0" distR="0" wp14:anchorId="2E175531" wp14:editId="502C0274">
          <wp:extent cx="1420495" cy="713862"/>
          <wp:effectExtent l="25400" t="0" r="1905" b="0"/>
          <wp:docPr id="15" name="Image 8" descr="Logo MENACAB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ACAB final.png"/>
                  <pic:cNvPicPr/>
                </pic:nvPicPr>
                <pic:blipFill>
                  <a:blip r:embed="rId1"/>
                  <a:stretch>
                    <a:fillRect/>
                  </a:stretch>
                </pic:blipFill>
                <pic:spPr>
                  <a:xfrm>
                    <a:off x="0" y="0"/>
                    <a:ext cx="1422320" cy="714779"/>
                  </a:xfrm>
                  <a:prstGeom prst="rect">
                    <a:avLst/>
                  </a:prstGeom>
                </pic:spPr>
              </pic:pic>
            </a:graphicData>
          </a:graphic>
        </wp:inline>
      </w:drawing>
    </w:r>
    <w:r>
      <w:rPr>
        <w:rFonts w:ascii="Arial" w:hAnsi="Arial"/>
        <w:i/>
        <w:sz w:val="18"/>
      </w:rPr>
      <w:t xml:space="preserve">                                                                              </w:t>
    </w:r>
    <w:r>
      <w:rPr>
        <w:rFonts w:ascii="Arial" w:hAnsi="Arial"/>
        <w:i/>
        <w:noProof/>
        <w:sz w:val="18"/>
        <w:lang w:eastAsia="fr-FR"/>
      </w:rPr>
      <w:drawing>
        <wp:inline distT="0" distB="0" distL="0" distR="0" wp14:anchorId="43670B2F" wp14:editId="6324EB41">
          <wp:extent cx="1139220" cy="588596"/>
          <wp:effectExtent l="25400" t="0" r="3780" b="0"/>
          <wp:docPr id="16" name="Image 15"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2"/>
                  <a:stretch>
                    <a:fillRect/>
                  </a:stretch>
                </pic:blipFill>
                <pic:spPr>
                  <a:xfrm>
                    <a:off x="0" y="0"/>
                    <a:ext cx="1148104" cy="593186"/>
                  </a:xfrm>
                  <a:prstGeom prst="rect">
                    <a:avLst/>
                  </a:prstGeom>
                </pic:spPr>
              </pic:pic>
            </a:graphicData>
          </a:graphic>
        </wp:inline>
      </w:drawing>
    </w:r>
  </w:p>
  <w:p w14:paraId="324F7283" w14:textId="77777777" w:rsidR="000A7F3A" w:rsidRDefault="000A7F3A" w:rsidP="002F4BCD">
    <w:pPr>
      <w:pStyle w:val="Pieddepage"/>
      <w:ind w:right="360"/>
      <w:jc w:val="both"/>
      <w:rPr>
        <w:rFonts w:ascii="Arial" w:hAnsi="Arial"/>
        <w:i/>
        <w:sz w:val="18"/>
      </w:rPr>
    </w:pPr>
  </w:p>
  <w:p w14:paraId="2CE8DB3D" w14:textId="77777777" w:rsidR="000A7F3A" w:rsidRPr="002F4BCD" w:rsidRDefault="00AE747E" w:rsidP="002F4BCD">
    <w:pPr>
      <w:pStyle w:val="Pieddepage"/>
      <w:ind w:right="360"/>
      <w:jc w:val="center"/>
      <w:rPr>
        <w:rFonts w:ascii="Arial" w:hAnsi="Arial"/>
        <w:i/>
        <w:sz w:val="16"/>
      </w:rPr>
    </w:pPr>
    <w:r>
      <w:rPr>
        <w:rFonts w:ascii="Arial" w:hAnsi="Arial"/>
        <w:i/>
        <w:sz w:val="16"/>
      </w:rPr>
      <w:t>Informations concernant l’appel à candidatures</w:t>
    </w:r>
    <w:r w:rsidR="000A7F3A" w:rsidRPr="002F4BCD">
      <w:rPr>
        <w:rFonts w:ascii="Arial" w:hAnsi="Arial"/>
        <w:i/>
        <w:sz w:val="16"/>
      </w:rPr>
      <w:t xml:space="preserve"> </w:t>
    </w:r>
    <w:r>
      <w:rPr>
        <w:rFonts w:ascii="Arial" w:hAnsi="Arial"/>
        <w:i/>
        <w:sz w:val="16"/>
      </w:rPr>
      <w:t>pour participer au MENACAB, à Marrakech, organisé par ITPC-MENA</w:t>
    </w:r>
  </w:p>
  <w:p w14:paraId="7C2F9038" w14:textId="77777777" w:rsidR="000A7F3A" w:rsidRDefault="000A7F3A">
    <w:pPr>
      <w:pStyle w:val="Pieddepage"/>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6D487" w14:textId="77777777" w:rsidR="004C4E74" w:rsidRDefault="004C4E74">
      <w:r>
        <w:separator/>
      </w:r>
    </w:p>
  </w:footnote>
  <w:footnote w:type="continuationSeparator" w:id="0">
    <w:p w14:paraId="04012344" w14:textId="77777777" w:rsidR="004C4E74" w:rsidRDefault="004C4E7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EA5472"/>
    <w:multiLevelType w:val="hybridMultilevel"/>
    <w:tmpl w:val="80BC2C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97A0D3B"/>
    <w:multiLevelType w:val="hybridMultilevel"/>
    <w:tmpl w:val="2DC4FD88"/>
    <w:lvl w:ilvl="0" w:tplc="C2F4827C">
      <w:start w:val="1"/>
      <w:numFmt w:val="bullet"/>
      <w:lvlText w:val="-"/>
      <w:lvlJc w:val="left"/>
      <w:pPr>
        <w:ind w:left="720" w:hanging="360"/>
      </w:pPr>
      <w:rPr>
        <w:rFonts w:ascii="Arial" w:eastAsiaTheme="minorHAnsi" w:hAnsi="Aria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025"/>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81CC7"/>
    <w:rsid w:val="000551CD"/>
    <w:rsid w:val="00080D6B"/>
    <w:rsid w:val="000A7F3A"/>
    <w:rsid w:val="001963EC"/>
    <w:rsid w:val="001D5513"/>
    <w:rsid w:val="001E3632"/>
    <w:rsid w:val="002151FC"/>
    <w:rsid w:val="0027507B"/>
    <w:rsid w:val="002B4CCC"/>
    <w:rsid w:val="002E6AD5"/>
    <w:rsid w:val="002F4BCD"/>
    <w:rsid w:val="00373112"/>
    <w:rsid w:val="004439CC"/>
    <w:rsid w:val="004C4D83"/>
    <w:rsid w:val="004C4E74"/>
    <w:rsid w:val="004E3E5C"/>
    <w:rsid w:val="0054154B"/>
    <w:rsid w:val="005707C6"/>
    <w:rsid w:val="0065773C"/>
    <w:rsid w:val="00670E88"/>
    <w:rsid w:val="00674732"/>
    <w:rsid w:val="006D6F1C"/>
    <w:rsid w:val="007A6C59"/>
    <w:rsid w:val="00826D0C"/>
    <w:rsid w:val="008976FE"/>
    <w:rsid w:val="008A4F84"/>
    <w:rsid w:val="008B289E"/>
    <w:rsid w:val="008F7B30"/>
    <w:rsid w:val="0090435C"/>
    <w:rsid w:val="009263A4"/>
    <w:rsid w:val="0097255F"/>
    <w:rsid w:val="0098089D"/>
    <w:rsid w:val="00984489"/>
    <w:rsid w:val="00995374"/>
    <w:rsid w:val="00996464"/>
    <w:rsid w:val="00A03D30"/>
    <w:rsid w:val="00A8120E"/>
    <w:rsid w:val="00A81CC7"/>
    <w:rsid w:val="00AD2FA6"/>
    <w:rsid w:val="00AE747E"/>
    <w:rsid w:val="00B0144F"/>
    <w:rsid w:val="00B34B7C"/>
    <w:rsid w:val="00B942C5"/>
    <w:rsid w:val="00C24F8C"/>
    <w:rsid w:val="00CA5822"/>
    <w:rsid w:val="00CE214F"/>
    <w:rsid w:val="00CF2D18"/>
    <w:rsid w:val="00D23522"/>
    <w:rsid w:val="00DB18BD"/>
    <w:rsid w:val="00E4122E"/>
    <w:rsid w:val="00E55779"/>
    <w:rsid w:val="00F0584C"/>
    <w:rsid w:val="00F35BAB"/>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E99CA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81CC7"/>
    <w:rPr>
      <w:rFonts w:eastAsia="Cambri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nhideWhenUsed/>
    <w:rsid w:val="00A81CC7"/>
    <w:pPr>
      <w:spacing w:after="200"/>
    </w:pPr>
    <w:rPr>
      <w:rFonts w:ascii="Cambria" w:eastAsia="Cambria" w:hAnsi="Cambria" w:cs="Times New Roman"/>
      <w:lang w:val="en-US"/>
    </w:rPr>
  </w:style>
  <w:style w:type="character" w:customStyle="1" w:styleId="CorpsdetexteCar">
    <w:name w:val="Corps de texte Car"/>
    <w:basedOn w:val="Policepardfaut"/>
    <w:link w:val="Corpsdetexte"/>
    <w:rsid w:val="00A81CC7"/>
    <w:rPr>
      <w:rFonts w:ascii="Cambria" w:eastAsia="Cambria" w:hAnsi="Cambria" w:cs="Times New Roman"/>
      <w:lang w:val="en-US"/>
    </w:rPr>
  </w:style>
  <w:style w:type="paragraph" w:styleId="En-tte">
    <w:name w:val="header"/>
    <w:basedOn w:val="Normal"/>
    <w:link w:val="En-tteCar"/>
    <w:rsid w:val="002F4BCD"/>
    <w:pPr>
      <w:tabs>
        <w:tab w:val="center" w:pos="4703"/>
        <w:tab w:val="right" w:pos="9406"/>
      </w:tabs>
    </w:pPr>
  </w:style>
  <w:style w:type="character" w:customStyle="1" w:styleId="En-tteCar">
    <w:name w:val="En-tête Car"/>
    <w:basedOn w:val="Policepardfaut"/>
    <w:link w:val="En-tte"/>
    <w:rsid w:val="002F4BCD"/>
  </w:style>
  <w:style w:type="paragraph" w:styleId="Pieddepage">
    <w:name w:val="footer"/>
    <w:basedOn w:val="Normal"/>
    <w:link w:val="PieddepageCar"/>
    <w:uiPriority w:val="99"/>
    <w:rsid w:val="002F4BCD"/>
    <w:pPr>
      <w:tabs>
        <w:tab w:val="center" w:pos="4703"/>
        <w:tab w:val="right" w:pos="9406"/>
      </w:tabs>
    </w:pPr>
  </w:style>
  <w:style w:type="character" w:customStyle="1" w:styleId="PieddepageCar">
    <w:name w:val="Pied de page Car"/>
    <w:basedOn w:val="Policepardfaut"/>
    <w:link w:val="Pieddepage"/>
    <w:uiPriority w:val="99"/>
    <w:rsid w:val="002F4BCD"/>
  </w:style>
  <w:style w:type="paragraph" w:styleId="Pardeliste">
    <w:name w:val="List Paragraph"/>
    <w:basedOn w:val="Normal"/>
    <w:rsid w:val="00B942C5"/>
    <w:pPr>
      <w:ind w:left="720"/>
      <w:contextualSpacing/>
    </w:pPr>
  </w:style>
  <w:style w:type="character" w:styleId="Lienhypertexte">
    <w:name w:val="Hyperlink"/>
    <w:basedOn w:val="Policepardfaut"/>
    <w:rsid w:val="00C24F8C"/>
    <w:rPr>
      <w:color w:val="0000FF" w:themeColor="hyperlink"/>
      <w:u w:val="single"/>
    </w:rPr>
  </w:style>
  <w:style w:type="character" w:styleId="Lienhypertextevisit">
    <w:name w:val="FollowedHyperlink"/>
    <w:basedOn w:val="Policepardfaut"/>
    <w:rsid w:val="00C24F8C"/>
    <w:rPr>
      <w:color w:val="800080" w:themeColor="followedHyperlink"/>
      <w:u w:val="single"/>
    </w:rPr>
  </w:style>
  <w:style w:type="character" w:styleId="Numrodepage">
    <w:name w:val="page number"/>
    <w:basedOn w:val="Policepardfaut"/>
    <w:rsid w:val="00AE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337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507</Words>
  <Characters>2792</Characters>
  <Application>Microsoft Macintosh Word</Application>
  <DocSecurity>0</DocSecurity>
  <Lines>23</Lines>
  <Paragraphs>6</Paragraphs>
  <ScaleCrop>false</ScaleCrop>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Londeix</dc:creator>
  <cp:keywords/>
  <cp:lastModifiedBy>Utilisateur de Microsoft Office</cp:lastModifiedBy>
  <cp:revision>46</cp:revision>
  <dcterms:created xsi:type="dcterms:W3CDTF">2017-10-10T13:38:00Z</dcterms:created>
  <dcterms:modified xsi:type="dcterms:W3CDTF">2017-10-12T12:38:00Z</dcterms:modified>
</cp:coreProperties>
</file>